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41,000,000 for the Shares. USD 36,000,000 shall be payable at Closing. The remaining USD 5,000,000 shall be payable on the first anniversary of Closing, provided that as of such date there exists no outstanding, unresolved material breach of this Agreement or any claim for breach of the Seller’s representations and warranties.</w:t>
      </w:r>
    </w:p>
    <w:p>
      <w:r>
        <w:t>2. Closing. Closing shall occur promptly following satisfaction or waiver of all Buyer due diligence conditions, provided that, unless the parties otherwise agree in writing, Closing shall not occur later than 60 days after the date of this Agreement.</w:t>
      </w:r>
    </w:p>
    <w:p>
      <w:r>
        <w:t>3. Representations. The Seller represents that the financial statements have been prepared in accordance with applicable accounting standards and fairly present, in all material respects, the financial position of the Company as of their respective dates.</w:t>
      </w:r>
    </w:p>
    <w:p>
      <w:r>
        <w:t>4. Confidentiality. The terms of this Agreement are confidential and shall not be disclosed by either party without the prior written consent of the other party, except as may be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