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36,000,000 for the Shares.</w:t>
      </w:r>
    </w:p>
    <w:p>
      <w:r>
        <w:t>2. Closing. Closing shall occur within 30 days of signing. To the Seller’s knowledge, no third-party consents or approvals are required for Closing.</w:t>
      </w:r>
    </w:p>
    <w:p>
      <w:r>
        <w:t>3. Warranties. The Seller represents and warrants that (i) the financial statements are accurate, (ii) there are no undisclosed liabilities, (iii) there has been no material adverse change since the last financial year-end, and (iv) the Seller and business are in compliance with all applicable laws.</w:t>
      </w:r>
    </w:p>
    <w:p>
      <w:r>
        <w:t>4. Confidentiality. The terms of this Agreement are confidential, subject to standard carveouts for disclosures required by law or regulation or to relevant governmental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