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an initial purchase price of USD 45,000,000 for the Shares, with the final price subject to further negotiation and agreement by both parties.</w:t>
      </w:r>
    </w:p>
    <w:p>
      <w:r>
        <w:t>2. Closing. Closing shall occur within 30 days of signing.</w:t>
      </w:r>
    </w:p>
    <w:p>
      <w:r>
        <w:t>3. Representations. The Seller represents that, to the best of its knowledge, the financial statements provided are accurate and complete. The Seller agrees to provide reasonable supporting documentation upon request.</w:t>
      </w:r>
    </w:p>
    <w:p>
      <w:r>
        <w:t>4. Confidentiality. Both parties agree that the terms of this Agreement and all related negotiations are confidential and shall not be disclosed to any third party without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internal draft -- scrub before sending</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InternalMatterNotes">
    <vt:lpwstr xmlns:vt="http://schemas.openxmlformats.org/officeDocument/2006/docPropsVTypes">client walk-away 28,500,000</vt:lpwstr>
  </property>
</Properties>
</file>