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an amount of USD 40,000,000 for the Shares, subject to adjustments as agreed in this Agreement.</w:t>
      </w:r>
      <w:del w:author="Drafting Associate" w:id="0" w:date="2026-01-01T00:00:00Z">
        <w:r>
          <w:delText xml:space="preserve">USD 31,000,000 floor</w:delText>
        </w:r>
      </w:del>
    </w:p>
    <w:p>
      <w:r>
        <w:t>2. Closing. Closing shall occur within 60 days of signing.</w:t>
      </w:r>
    </w:p>
    <w:p>
      <w:r>
        <w:t>3. Representations. The Seller represents and warrants that the financial statements provided to the Buyer are accurate in all material respects and prepared in accordance with generally accepted accounting principles.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