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subject to negotiation.</w:t>
      </w:r>
    </w:p>
    <w:p>
      <w:r>
        <w:t>2. Closing. Closing shall occur within 30 days of signing or as mutually agreed upon by the parties.</w:t>
      </w:r>
    </w:p>
    <w:p>
      <w:r>
        <w:t>3. Representations. The Seller represents that the financial statements are accurate in all material respects and will be provided for review prior to closing.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