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The Buyer shall pay the Seller USD 45,000,000 for the Shares, subject to further negotiation.</w:t>
      </w:r>
    </w:p>
    <w:p>
      <w:r>
        <w:t>2. Closing. Closing shall occur within 30 days of signing.</w:t>
      </w:r>
    </w:p>
    <w:p>
      <w:commentRangeStart w:id="0"/>
      <w:r>
        <w:t>The Seller represents that the financial statements are accurate, and will provide any additional necessary details for due diligence upon request.</w:t>
      </w:r>
      <w:commentRangeEnd w:id="0"/>
      <w:r>
        <w:rPr>
          <w:rStyle w:val="CommentReference"/>
        </w:rPr>
        <w:commentReference w:id="0"/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26:45Z">
    <w:p>
      <w:pPr>
        <w:pStyle w:val="CommentText"/>
      </w:pPr>
      <w:r>
        <w:rPr>
          <w:rStyle w:val="CommentReference"/>
        </w:rPr>
        <w:annotationRef/>
      </w:r>
      <w:r>
        <w:t>Consider adding a clause regarding warranties and indemnities against future liabilities.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