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40,000,000 for the Shares.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Closing. Closing shall occur within 30 days of signing.</w:t>
      </w:r>
      <w:commentRangeEnd w:id="1"/>
      <w:r>
        <w:rPr>
          <w:rStyle w:val="CommentReference"/>
        </w:rPr>
        <w:commentReference w:id="1"/>
      </w:r>
    </w:p>
    <w:p>
      <w:r>
        <w:t>3. Representations. The Seller represents that the financial statements are accurate.</w:t>
      </w:r>
    </w:p>
    <w:p>
      <w:commentRangeStart w:id="2"/>
      <w:r>
        <w:t>4. Confidentiality. The terms of this Agreement are confidential.</w:t>
      </w:r>
      <w:commentRangeEnd w:id="2"/>
      <w:r>
        <w:rPr>
          <w:rStyle w:val="CommentReference"/>
        </w:rPr>
        <w:comment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26:35Z">
    <w:p>
      <w:pPr>
        <w:pStyle w:val="CommentText"/>
      </w:pPr>
      <w:r>
        <w:rPr>
          <w:rStyle w:val="CommentReference"/>
        </w:rPr>
        <w:annotationRef/>
      </w:r>
      <w:r>
        <w:t>This reflects our opening position, allowing room for negotiation.</w:t>
      </w:r>
    </w:p>
  </w:comment>
  <w:comment w:id="1" w:author="Drafting Associate" w:initials="DA" w:date="2026-10-26T13:26:35Z">
    <w:p>
      <w:pPr>
        <w:pStyle w:val="CommentText"/>
      </w:pPr>
      <w:r>
        <w:rPr>
          <w:rStyle w:val="CommentReference"/>
        </w:rPr>
        <w:annotationRef/>
      </w:r>
      <w:r>
        <w:t>Consider adding conditions around closing timeline flexibility.</w:t>
      </w:r>
    </w:p>
  </w:comment>
  <w:comment w:id="2" w:author="Drafting Associate" w:initials="DA" w:date="2026-10-26T13:26:35Z">
    <w:p>
      <w:pPr>
        <w:pStyle w:val="CommentText"/>
      </w:pPr>
      <w:r>
        <w:rPr>
          <w:rStyle w:val="CommentReference"/>
        </w:rPr>
        <w:annotationRef/>
      </w:r>
      <w:r>
        <w:t>Confidentiality is crucial; ensure this stands.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