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42,500,000 for the Shares.</w:t>
      </w:r>
    </w:p>
    <w:p>
      <w:r>
        <w:t>Closing shall occur within 30 days of signing, subject to the Buyer completing necessary due diligence in a timely manner.</w:t>
      </w:r>
    </w:p>
    <w:p>
      <w:r>
        <w:t>The Seller represents that the financial statements are accurate and that there have been no material changes or outstanding liabilities affecting these statements.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