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The Buyer shall pay the Seller USD 43,000,000 for the Shares, as agreed.</w:t>
      </w:r>
    </w:p>
    <w:p>
      <w:r>
        <w:t>2. Closing. Closing shall occur within 45 days of signing, unless otherwise mutually agreed upon.</w:t>
      </w:r>
    </w:p>
    <w:p>
      <w:r>
        <w:t>The Seller represents that the financial statements provided, including but not limited to the last three fiscal years, are accurate to the best of Seller's knowledge, and shall be provided upon execution of this Agreement or as mutually agreed.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