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38,000,000 for the Shares.</w:t>
      </w:r>
    </w:p>
    <w:p>
      <w:r>
        <w:t>2. Closing. Closing shall occur within 45 days of signing, or at such other time as mutually agreed by the parties.</w:t>
      </w:r>
    </w:p>
    <w:p>
      <w:r>
        <w:t>3. Representations. The Seller represents that the financial statements are accurate in all material respects and fairly present the financial condition of the Seller.</w:t>
      </w:r>
    </w:p>
    <w:p>
      <w:r>
        <w:t>4. Confidentiality. The terms of this Agreement are confidential; neither party shall disclose the existence or terms of this Agreement without the prior written consent of the other party, except as required by 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