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35,000,000 for the Shares. This Purchase Price shall be subject to further negotiation based on the results of the Buyer’s due diligence.</w:t>
      </w:r>
    </w:p>
    <w:p>
      <w:r>
        <w:t>2. Closing. Closing shall occur within 30 days of signing.</w:t>
      </w:r>
    </w:p>
    <w:p>
      <w:r>
        <w:t>The Seller represents that the financial statements provided are true and accurate to the best of its knowledge and that there are no material omissions which could affect the Buyer’s decision. Further details of the financial representations shall be provided in Schedule [X].</w:t>
      </w:r>
    </w:p>
    <w:p>
      <w:r>
        <w:t>The Seller shall indemnify the Buyer for any undisclosed liabilities or risks that may arise post-transaction as a result of inaccuracies in the financial representations made by the Seller.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