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adjustments based on the final due diligence results as mutually agreed upon.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