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The Buyer shall pay the Seller USD 38,500,000 for the Shares, subject to adjustments based on the final due diligence results as mutually agreed upon, which may include detailed methodologies regarding calculations.</w:t>
      </w:r>
    </w:p>
    <w:p>
      <w:r>
        <w:t>2. Closing. Closing shall occur within 30 days of signing.</w:t>
      </w:r>
    </w:p>
    <w:p>
      <w:r>
        <w:t>The Seller represents that the financial statements are accurate and shall provide additional representations regarding potential liabilities as identified in due diligence, ensuring complete transparency.</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