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SHARE PURCHASE AGREEMENT</w:t>
      </w:r>
    </w:p>
    <w:p>
      <w:r>
        <w:t>The Buyer shall pay the Seller USD 45,000,000 for the Shares, subject to adjustments and negotiations based on due diligence findings. &lt;hidden: The Seller's bottom line is USD 31,000,000. However, we anticipate that discussions may lead to a mutually beneficial agreement.&gt;</w:t>
      </w:r>
    </w:p>
    <w:p>
      <w:r>
        <w:t>Closing shall occur within 60 days of signing.</w:t>
      </w:r>
    </w:p>
    <w:p>
      <w:r>
        <w:t>The Seller represents that the financial statements are accurate and shall provide supporting documentation as necessary.</w:t>
      </w:r>
    </w:p>
    <w:p>
      <w:r>
        <w:t>The terms of this Agreement and any findings from due diligence are confidential, and any disclosure of this agreement’s term shall be mutually agreed upon.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Share Purchase Agreement (Draft)</dc:title>
  <dc:subject/>
  <dc:creator>Drafting Associate, Aldous Finch LLP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