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Shares, contingent upon satisfactory completion of due diligence to a minimum valuation threshold of USD 33,500,000.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