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40,000,000 for the Shares, contingent upon satisfactory completion of due diligence to a minimum valuation threshold of USD 33,500,000.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