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signing, subject to the completion of customary closing deliverables reasonably requested by either party.</w:t>
      </w:r>
    </w:p>
    <w:p>
      <w:r>
        <w:t>3. Representations. The Seller represents, to the Seller’s knowledge and except as disclosed in writing to the Buyer, that the financial statements are materially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