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r>
        <w:t>1. Purchase Price. The Buyer shall pay the Seller USD 43,500,000 for the Shares.</w:t>
      </w:r>
      <w:commentRangeEnd w:id="0"/>
      <w:r>
        <w:rPr>
          <w:rStyle w:val="CommentReference"/>
        </w:rPr>
        <w:commentReference w:id="0"/>
      </w:r>
    </w:p>
    <w:p>
      <w:r>
        <w:t>2. Closing. Closing shall occur on a fixed date that is 30 days after signing (or such other date as the parties may agree in writing). If any Seller-deliverable closing item is not ready on the scheduled closing date, the Buyer may, by written notice, extend closing for up to 5 business days to permit delivery of such item; provided that if such item is not delivered by the end of that extension period, the Buyer may terminate this Agreement. For the avoidance of doubt, no party shall have any obligation to satisfy open-ended or unilateral closing requests outside the closing deliverables expressly set out in this Agreement.</w:t>
      </w:r>
    </w:p>
    <w:p>
      <w:r>
        <w:t>3. Representations. The Seller represents that, except as set forth in the disclosure schedule delivered by the Seller to the Buyer, the financial statements fairly present in all material respects the financial condition of the Company, and the Seller has no knowledge of any material inaccuracy therein. The parties shall attach a disclosure schedule setting out the specific exceptions to the Seller’s representations.</w:t>
      </w:r>
    </w:p>
    <w:p>
      <w:r>
        <w:t>4. Confidentiality. The terms of this Agreement are confidential, except that the Buyer may disclose them to its representatives, advisers, financing sources, affiliates, and to the extent required by law, regulation, stock exchange rule, or order of a court or governmental authority, in each case subject to customary confidentiality obligations where appropriate.</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26:50Z">
    <w:p>
      <w:pPr>
        <w:pStyle w:val="CommentText"/>
      </w:pPr>
      <w:r>
        <w:rPr>
          <w:rStyle w:val="CommentReference"/>
        </w:rPr>
        <w:annotationRef/>
      </w:r>
      <w:r>
        <w:t>Seller has made a meaningful price concession from the draft. We can discuss further movement once the remaining risk items are aligned.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