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at Closing in immediately available funds.</w:t>
      </w:r>
    </w:p>
    <w:p>
      <w:r>
        <w:t>2. Closing. Closing shall occur within 30 days of signing, subject to satisfaction or waiver of the conditions precedent set out in this Agreement and delivery of the documents reasonably required for Closing.</w:t>
      </w:r>
    </w:p>
    <w:p>
      <w:r>
        <w:t>3. Representations. The Seller represents, as of the date of this Agreement and the Closing Date, that the financial statements are accurate in all material respects.</w:t>
      </w:r>
    </w:p>
    <w:p>
      <w:r>
        <w:t>4. Confidentiality. The terms of this Agreement are confidential, except to the extent disclosure is required by law, regulation, or any competent governmental authority or is made to a party's professional advisers on a need-to-know basis subject to confidentiality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