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41,000,000 for the Shares, of which USD 38,000,000 shall be payable at Closing in immediately available funds and USD 3,000,000 shall be held back and applied as a deferred payment / escrow amount, to be released in accordance with the parties’ agreed post-closing adjustment mechanics.</w:t>
      </w:r>
    </w:p>
    <w:p>
      <w:r>
        <w:t>2. Closing. Closing shall occur on a date selected by the parties that is no later than 45 days after signing, subject to satisfaction or waiver of customary conditions precedent in favor of the Buyer, including delivery of the agreed ancillary documents, and provided that no material adverse change shall have occurred with respect to the business of the Seller or the Shares between signing and Closing.</w:t>
      </w:r>
    </w:p>
    <w:p>
      <w:r>
        <w:t>3. Representations. The Seller represents, as of the date of this Agreement and the Closing Date, that: (a) the Seller has good and valid title to the Shares, free and clear of liens other than those created by this Agreement; (b) the Seller has full power and authority to enter into and perform this Agreement and the ancillary documents; (c) the execution and performance of this Agreement do not violate applicable law or the Seller’s organizational documents; (d) there are no liabilities required to be disclosed that have not been disclosed to the Buyer, other than those incurred in the ordinary course; (e) there is no pending or, to the Seller’s knowledge, threatened litigation that would reasonably be expected to materially adversely affect the Shares or the business; (f) all material taxes of the Seller relating to the Shares and the business have been timely paid or adequately reserved for; and (g) there are no undisclosed material adverse matters affecting the Shares or the business.</w:t>
      </w:r>
    </w:p>
    <w:p>
      <w:r>
        <w:t>4. Confidentiality. The terms of this Agreement are confidential, except to the extent disclosure is required by law, regulation, or any competent governmental authority, or is made to a party’s affiliates, lenders, financing sources, insurers, or professional advisers on a need-to-know basis, or is required for tax or accounting purposes, in each case subject to confidentiality obligations no less protective than those contained in this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