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2. Closing. Closing shall occur within 45 days of signing, subject to satisfaction or waiver of the conditions precedent set forth in this Agreement.</w:t>
      </w:r>
    </w:p>
    <w:p>
      <w:r>
        <w:t>3. Representations. The Seller represents, to the Seller’s knowledge, that the financial statements are accurate in all material respects.</w:t>
      </w:r>
    </w:p>
    <w:p>
      <w:r>
        <w:t>4. Confidentiality. The terms of this Agreement are confidential, subject to customary disclosures to a party’s affiliates, financing sources, and professional advisors, each bound by confidentiality obligations.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