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2. Closing. Closing shall occur within 45 days of signing, subject to satisfaction or waiver of the conditions precedent set forth in this Agreement.</w:t>
      </w:r>
    </w:p>
    <w:p>
      <w:r>
        <w:t>3. Representations. The Seller represents, to the Seller’s knowledge, that the financial statements are accurate in all material respects.</w:t>
      </w:r>
    </w:p>
    <w:p>
      <w:r>
        <w:t>4. Confidentiality. The terms of this Agreement are confidential, except that a party may disclose such terms to its affiliates, and its and their respective representatives, professional advisers, and potential financing sources, in each case who are informed of the confidential nature of this Agreement and bound by confidentiality obligations, and to the extent required by applicable law or regulation or legal process.</w:t>
      </w:r>
    </w:p>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