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</w:p>
    <w:p>
      <w:r>
        <w:t>2. Closing. Closing shall occur within 45 days after signing, unless extended by mutual written agreement of the parties.</w:t>
      </w:r>
    </w:p>
    <w:p>
      <w:r>
        <w:t>3. Representations. The Seller represents, to the Seller’s knowledge, that the financial statements are accurate in all material respects.</w:t>
      </w:r>
    </w:p>
    <w:p>
      <w:r>
        <w:t>4. Confidentiality. The terms of this Agreement are confidential, except as disclosure is required by law or to the parties’ respective legal, tax, and financial advisors on a need-to-know basis.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