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subject to the adjustments and closing mechanics set out in this Agreement.</w:t>
      </w:r>
    </w:p>
    <w:p>
      <w:r>
        <w:t>2. Closing. Closing shall occur within 45 days of signing, or on such other date as the parties may agree in writing, subject to satisfaction or waiver of the closing conditions set out in this Agreement.</w:t>
      </w:r>
    </w:p>
    <w:p>
      <w:r>
        <w:t>3. Representations. The Seller represents, to the Seller’s knowledge and subject to the qualifications set out in this Agreement, that the financial statements are accurate in all material respects.</w:t>
      </w:r>
    </w:p>
    <w:p>
      <w:r>
        <w:t>4. Confidentiality. The terms of this Agreement are confidential and shall be kept confidential by each party, except as required by law or with the other party’s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