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41,500,000 for the Shares.</w:t>
      </w:r>
    </w:p>
    <w:p>
      <w:r>
        <w:t>Closing shall occur within 45 days of signing, subject to the completion of customary diligence and financing arrangements.</w:t>
      </w:r>
    </w:p>
    <w:p>
      <w:r>
        <w:t>The Seller represents, to the Seller’s knowledge and except as set out in this Agreement, that the financial statements are accurate in all material respects.</w:t>
      </w:r>
    </w:p>
    <w:p>
      <w:r>
        <w:t>The terms of this Agreement are confidential, except to the extent disclosure is required by law, regulation, court order, or to the parties’ respective affiliates, representatives, insurers, financing sources, lenders, and professional advisers on a need-to-know basis, and otherwise as reasonably necessary in connection with the transactions contemplated by this Agreement, in each case subject to customary confidentiality obligations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