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41,500,000 for the Shares.</w:t>
      </w:r>
      <w:r>
        <w:rPr>
          <w:vanish/>
        </w:rPr>
        <w:t>CONFIDENTIAL INTERNAL NOTE: Seller reservation price is USD 36,000,000.</w:t>
      </w:r>
    </w:p>
    <w:p>
      <w:r>
        <w:t>2. Closing. Closing shall occur no earlier than 60 days after signing and shall be conditioned on satisfactory completion of diligence and delivery of customary closing deliverables.</w:t>
      </w:r>
    </w:p>
    <w:p>
      <w:r>
        <w:t>3. Representations. The Seller represents and warrants that it has authority to enter into this Agreement, valid title to the Shares, no undisclosed liabilities, compliance with applicable law, no pending or threatened litigation other than as disclosed, accurate tax matters, and no material adverse change.</w:t>
      </w:r>
    </w:p>
    <w:p>
      <w:r>
        <w:t>4. Confidentiality. The terms of this Agreement are confidential, except for disclosures required by law, to regulators, and to financing sources and other representatives on a need-to-know basis in connection with the Transaction.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