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signing, subject to completion of customary closing deliverables.</w:t>
      </w:r>
    </w:p>
    <w:p>
      <w:r>
        <w:t>3. Representations. The Seller represents that the financial statements are accurate in all material respects.</w:t>
      </w:r>
    </w:p>
    <w:p>
      <w:r>
        <w:t>4. Confidentiality. The terms of this Agreement are confidential, except as may be required by law or necessary to consummate the transactions contemplated hereby.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