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Adjustment; Holdback. The Buyer shall pay the Seller USD 38,500,000 for the Shares, subject to a post-signing working capital and net debt adjustment to be determined from the Closing Accounts prepared in accordance with the Accounting Principles attached as Schedule 1. At Closing, the Buyer shall withhold USD 3,000,000 from the Purchase Price as a holdback/escrow amount, to secure the Seller's indemnification obligations under this Agreement, to be released in accordance with the escrow agreement attached as Schedule 2.</w:t>
      </w:r>
    </w:p>
    <w:p>
      <w:r>
        <w:t>2. Closing. Closing shall occur on a date not earlier than 45 days and not later than 60 days following signing (or such later date as the parties may agree), and in any event only upon satisfaction or waiver of all conditions precedent, including (a) completion of Buyer’s legal, financial, tax, commercial, and operational diligence to Buyer’s sole satisfaction, (b) receipt of all required governmental and third-party approvals, consents, and waivers, (c) delivery of customary closing deliverables reasonably requested by Buyer, and (d) no Material Adverse Effect having occurred or been reasonably expected to occur prior to Closing.</w:t>
      </w:r>
    </w:p>
    <w:p>
      <w:r>
        <w:t>3. Representations and Warranties. The Seller represents and warrants, as of signing and as of Closing, that: (a) it has full authority and capacity to enter into and perform this Agreement; (b) it owns good and valid title to the Shares, free and clear of all liens and encumbrances other than those expressly disclosed; (c) the financial statements are prepared in accordance with GAAP consistently applied and present fairly the financial condition of the Company in all material respects; (d) the Company has no liabilities or obligations except as disclosed or incurred in the ordinary course of business since the most recent balance sheet date; (e) the Company and its subsidiaries are in material compliance with applicable law, including anti-corruption, sanctions, employment, environmental, and data privacy laws; (f) the Company has timely filed all material tax returns and paid all material taxes due, subject only to customary reserves and disputed amounts disclosed in writing; (g) there is no pending or, to Seller’s knowledge, threatened litigation, arbitration, or governmental investigation, except as disclosed; (h) the Company owns or has valid rights to use its material intellectual property and no third party is infringing such rights in any material respect; (i) all employees and independent contractors have been engaged in accordance with applicable law and all material employee benefit obligations have been satisfied; and (j) no Material Adverse Effect has occurred since the applicable reference date.</w:t>
      </w:r>
    </w:p>
    <w:p>
      <w:r>
        <w:t>4. Confidentiality. The terms of this Agreement are confidential, except that the Buyer and its affiliates may disclose the existence and terms of this Agreement and the transactions contemplated hereby to their respective directors, officers, employees, affiliates, advisers, financing sources, potential financing sources, insurers, and representatives who need to know such information in connection with the transactions, provided that such persons are bound by confidentiality obligations customary for such recipients (or are otherwise subject to professional duties of confidentiality). The Buyer may also disclose such information to the extent required by law, regulation, stock exchange rule, court order, or governmental authority, or as reasonably necessary to enforce its rights or to consummate the transactions contemplated hereby. This Agreement does not restrict the use of information that is (i) already known to the receiving party without breach of any confidentiality obligation, (ii) independently developed without use of the disclosing party’s confidential information, or (iii) lawfully received from a third party without duty of confidentiality.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