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The Seller represents that, to the Seller's knowledge, the financial statements fairly present, in all material respects, the financial condition and results of operations of the Company as of the dates and for the periods indicated therein.</w:t>
      </w:r>
    </w:p>
    <w:p>
      <w:r>
        <w:t>4. Confidentiality. The existence and terms of this Agreement, and all non-public information exchanged in connection with the transactions contemplated hereby, are confidential and shall not be disclosed by either party except with the prior written consent of the other party or as required by applicable law, regulation, or legal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