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42,500,000 for the Shares.</w:t>
      </w:r>
    </w:p>
    <w:p>
      <w:r>
        <w:t>2. Closing. Closing shall occur within 45 days of signing, subject to the satisfaction or waiver of customary closing conditions to be mutually agreed by the parties.</w:t>
      </w:r>
    </w:p>
    <w:p>
      <w:r>
        <w:t>3. Representations. The Seller represents that the financial statements fairly present, in all material respects, the financial condition and results of operations of the Company as of the dates and for the periods indicated therein. The representations of the Seller set forth in this Agreement shall be true and correct in all material respects as of signing and as of Closing, except to the extent expressly made as of a specified date, in which case such representations shall be true and correct in all material respects as of such date.</w:t>
      </w:r>
    </w:p>
    <w:p>
      <w:r>
        <w:t>4. Confidentiality. The existence and terms of this Agreement, and all non-public information exchanged in connection with the transactions contemplated hereby, are confidential and shall not be disclosed by either party except with the prior written consent of the other party or as required by applicable law, regulation, or legal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