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w:t>
      </w:r>
    </w:p>
    <w:p>
      <w:r>
        <w:t>2. Closing. Subject to the satisfaction or waiver of the closing conditions set forth in this Agreement, Closing shall occur as promptly as practicable following satisfaction or waiver of such conditions and in any event within 45 days of signing, unless otherwise agreed in writing by the parties; provided that no additional diligence or financing condition shall be implied by this Section.</w:t>
      </w:r>
    </w:p>
    <w:p>
      <w:r>
        <w:t>3. Representations. The Seller represents that the financial statements delivered to Buyer fairly present, in all material respects, the financial condition and results of operations of the Company as of the dates and for the periods indicated therein, in accordance with applicable accounting principles consistently applied during the periods covered thereby, subject, in the case of unaudited interim financial statements, to ordinary year-end adjustments and the absence of footnotes, and subject to the disclosures set forth in the disclosure schedules.</w:t>
      </w:r>
    </w:p>
    <w:p>
      <w:r>
        <w:t>4. Confidentiality. The terms of this Agreement and all non-public information exchanged in connection with the transactions contemplated hereby are confidential and shall not be disclosed by either party except to its representatives, prospective debt or equity financing sources and their respective representatives, or as required by applicable law, regulation, or legal process; provided that any such financing sources and representatives are informed of the confidential nature of the information and are subject to customary confidentiality obligations, and the disclosing party shall be responsible for any breach of this Section by its representatives or financing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