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to the Seller's knowledge, the financial statements fairly present in all material respects the financial position of the Company as of the dates indicated therein, subject to normal year-end adjustments and the notes thereto.</w:t>
      </w:r>
    </w:p>
    <w:p>
      <w:r>
        <w:t>4. Confidentiality. The terms of this Agreement, the existence and status of the transactions contemplated hereby, and all non-public information exchanged in connection herewith are confidential and shall not be disclosed by either party except to its representatives who need to know such information, as required by applicable law, or with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