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42,000,000 for the Shares.</w:t>
      </w:r>
    </w:p>
    <w:p>
      <w:r>
        <w:t>2. Closing. Closing shall occur within 45 days after signing, subject to the satisfaction or waiver of the closing conditions expressly set forth in this Agreement, including receipt of any required third-party consents. Seller shall deliver customary updated disclosure schedules prior to Closing; provided that such updates shall be for informational purposes only and shall not themselves constitute a failure of any closing condition except to the extent the matter disclosed would independently constitute a material breach of this Agreement or failure of an express closing condition.</w:t>
      </w:r>
    </w:p>
    <w:p>
      <w:r>
        <w:t>3. Representations. The Seller represents that the financial statements fairly present in all material respects the financial position of the Company as of the dates indicated therein, were prepared in accordance with applicable accounting principles consistently applied, and are subject to normal year-end adjustments and the notes thereto. Except as set forth in the financial statements or the disclosure schedules, the Company has no liabilities required to be reflected on a balance sheet prepared in accordance with such accounting principles, other than liabilities incurred in the ordinary course of business since the most recent balance sheet date that are not, individually or in the aggregate, material. Since the most recent balance sheet date, there has not been any material adverse change in the business, assets, financial condition, or results of operations of the Company, taken as a whole, except for changes resulting from general economic, industry, legal, regulatory, or market conditions not disproportionately affecting the Company.</w:t>
      </w:r>
    </w:p>
    <w:p>
      <w:r>
        <w:t>4. Confidentiality. The terms of this Agreement, the existence and status of the transactions contemplated hereby, and all non-public information exchanged in connection herewith are confidential and shall not be disclosed by either party except (a) to its and its affiliates' representatives who need to know such information, (b) to Buyer’s actual or prospective debt or equity financing sources, insurers, auditors, regulators, and prospective post-closing integration advisers, in each case who need to know such information in connection with the transactions contemplated hereby and are informed of the confidential nature of such information and are bound by confidentiality obligations or professional, legal, or regulatory duties of confidentiality, (c) as required by applicable law, regulation, stock exchange rule, legal process, or governmental authority, or (d) with the prior written consent of the other party. Each party shall be responsible for any breach of this Section by its representatives and permitted recipients, except to the extent such recipient is acting under an independent legal or regulatory obligation.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