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subject to customary adjustments for cash, indebtedness, net working capital against a mutually agreed target, and unpaid transaction expenses, in each case calculated in accordance with this Agreement and consistent with the Company’s historical accounting practices.</w:t>
      </w:r>
    </w:p>
    <w:p>
      <w:r>
        <w:t>2. Closing. Closing shall occur as promptly as practicable following satisfaction or waiver of the conditions set forth in this Agreement, and in any event no later than 35 days after signing, unless otherwise agreed in writing by the parties. The obligation of each party to close shall be subject only to customary conditions, including receipt of required governmental and material third-party approvals, accuracy of the other party’s fundamental representations in all material respects, compliance in all material respects with pre-closing covenants, and the absence of any law or order prohibiting the transactions. Buyer’s confirmatory diligence shall be completed prior to signing and shall not be a condition to Closing. Buyer’s obligation to close shall also be subject to the absence of a Material Adverse Effect with respect to the Company after signing.</w:t>
      </w:r>
    </w:p>
    <w:p>
      <w:r>
        <w:t>3. Representations. The Seller shall make customary representations and warranties, subject to agreed disclosure schedules and appropriate materiality and knowledge qualifiers, regarding: (a) Seller’s organization, power and authority to enter into and perform this Agreement; (b) Seller’s title to the Shares, free and clear of liens other than restrictions arising under applicable securities laws or this Agreement; (c) capitalization of the Company; (d) no conflicts with Seller’s organizational documents, applicable law or material contracts; (e) accuracy of the Company’s financial statements in all material respects; (f) compliance with applicable laws in all material respects; (g) taxes; (h) material contracts; (i) litigation; (j) employees and benefit plans; (k) intellectual property; (l) privacy and data security; (m) environmental matters; (n) absence of undisclosed liabilities required to be reflected under applicable accounting principles; and (o) absence of a Material Adverse Effect since the date of the most recent financial statements. Buyer shall make customary representations regarding organization, authority, enforceability, no conflicts, availability of funds, investment intent and broker fees.</w:t>
      </w:r>
    </w:p>
    <w:p>
      <w:r>
        <w:t>5. Indemnification. From and after Closing, each party shall indemnify the other party and its affiliates and representatives for losses arising from breaches of such party’s representations, warranties and covenants and, with respect to Seller, pre-Closing taxes of the Company. Non-fundamental representations shall survive for 12 months after Closing, fundamental representations shall survive for 6 years after Closing, tax representations and pre-Closing tax indemnities shall survive until 60 days after expiration of the applicable statute of limitations, and covenants shall survive in accordance with their terms. Claims for breaches of non-fundamental representations shall be subject to a deductible basket equal to 1.0% of the Purchase Price and an aggregate cap equal to 10.0% of the Purchase Price. Claims for breaches of fundamental representations, title to the Shares, capitalization, fraud, willful misconduct, equitable remedies, and pre-Closing taxes shall not be subject to the basket or general cap and shall be capped at the Purchase Price except in the case of fraud. At Closing, 5.0% of the Purchase Price shall be deposited into escrow for 12 months as Buyer’s sole source of recovery for breaches of non-fundamental representations, absent fraud or willful misconduct. The parties shall negotiate in good faith appropriate special indemnities for specific known matters identified in diligence, if any, with scope, duration and cap to be agreed.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