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42,000,000 for the Shares (the "Purchase Price"). The Purchase Price is based on the Company being delivered at Closing on a cash-free, debt-free basis, with any unpaid funded indebtedness and transaction expenses of the Company or Seller to be discharged at or prior to Closing or deducted from the Purchase Price. The Purchase Price shall not be subject to any post-Closing working-capital adjustment unless the parties agree in writing on a target working-capital amount, included and excluded line items, and a final adjustment mechanism prior to signing.</w:t>
      </w:r>
    </w:p>
    <w:p>
      <w:r>
        <w:t>2. Closing. Closing shall occur on the fifth Business Day after satisfaction or waiver of the conditions expressly set forth in this Agreement, or on such other date as the parties may agree in writing; provided that the Closing shall occur no later than 30 days after signing unless extended by mutual written agreement. At Closing, Seller shall deliver instruments of transfer for the Shares, and Buyer shall pay the Purchase Price by wire transfer of immediately available funds.</w:t>
      </w:r>
    </w:p>
    <w:p>
      <w:r>
        <w:t>3. Representations. Seller represents and warrants to Buyer that: (a) Seller has full power and authority to enter into and perform this Agreement and to sell the Shares; (b) Seller owns the Shares free and clear of liens other than restrictions arising under applicable securities laws or this Agreement; (c) the execution, delivery and performance of this Agreement by Seller have been duly authorized and do not violate any organizational document or material contract binding on Seller; (d) the financial statements delivered to Buyer fairly present, in all material respects, the financial position and results of operations of the Company as of the dates and for the periods indicated, subject in the case of unaudited statements to normal year-end adjustments and the absence of footnotes; (e) to Seller's knowledge, since the date of the most recent financial statements, there has not occurred any material adverse change in the business, assets, financial condition or results of operations of the Company, taken as a whole; (f) to Seller's knowledge, the Company is in material compliance with applicable laws, has filed material tax returns required to be filed and paid material taxes due, and is not subject to any pending material litigation; (g) to Seller's knowledge, the material contracts, intellectual property, employee benefit arrangements and permits of the Company made available to Buyer are sufficient in all material respects for the conduct of the business as currently conducted; and (h) no broker or finder has been engaged by Seller for whom Buyer or the Company will be liable. Except for the representations and warranties expressly set forth in this Agreement, Seller makes no other representation or warranty, express or implied, including with respect to projections, forecasts or other forward-looking information.</w:t>
      </w:r>
    </w:p>
    <w:p>
      <w:r>
        <w:t>8. Termination. This Agreement may be terminated prior to Closing: (a) by mutual written agreement of Buyer and Seller; (b) by either party if Closing has not occurred by the outside date specified in Section 2, provided that the terminating party is not then in material breach of this Agreement; (c) by either party if a final, non-appealable order prohibits the Closing; or (d) by the non-breaching party if the other party has materially breached this Agreement and such breach has not been cured within 10 Business Days after written notice, to the extent curable. Upon termination, this Agreement shall be of no further force except for confidentiality, governing law, expenses and other provisions that by their nature should survive.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