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w:t>
      </w:r>
    </w:p>
    <w:p>
      <w:r>
        <w:t>2. Closing. Closing shall occur within 30 days of signing, subject to satisfaction or waiver of the conditions set forth in this Agreement and the delivery of customary closing deliverables.</w:t>
      </w:r>
    </w:p>
    <w:p>
      <w:r>
        <w:t>3. Representations. The Seller represents that, to the Seller's knowledge, the financial statements fairly present in all material respects the financial position of the Company as of the dates indicated, subject to normal year-end adjustments and the notes and assumptions reflected therein.</w:t>
      </w:r>
    </w:p>
    <w:p>
      <w:r>
        <w:t>4. Confidentiality. The terms of this Agreement are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