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 payable in immediately available funds at Closing.</w:t>
      </w:r>
    </w:p>
    <w:p>
      <w:r>
        <w:t>2. Closing. Closing shall occur within 45 days after signing, subject to satisfaction or waiver of the conditions set forth in this Agreement, or on such other date as the parties may agree in writing.</w:t>
      </w:r>
    </w:p>
    <w:p>
      <w:r>
        <w:t>3. Seller Representations. The Seller represents and warrants to the Buyer that: (a) the Seller has good and valid title to the Shares, free and clear of liens other than transfer restrictions arising under applicable securities laws; (b) the Seller has full authority to enter into and perform this Agreement; (c) the capitalization of the Company is as set forth in the disclosure schedules; (d) the financial statements delivered to Buyer have been prepared in accordance with the Company’s past practices and fairly present in all material respects the financial condition and results of operations of the Company for the periods presented; (e) except as disclosed in the disclosure schedules, the Company has no material undisclosed liabilities other than liabilities incurred in the ordinary course of business since the date of the most recent financial statements; (f) the Company is in compliance in all material respects with applicable laws; (g) the Company has filed all material tax returns required to be filed and has paid all material taxes due, except those being contested in good faith; (h) the material contracts of the Company are listed in the disclosure schedules and are in full force and effect in all material respects; (i) there is no material litigation pending or, to Seller’s knowledge, threatened against the Company; (j) the Company is in material compliance with applicable employment and employee benefit laws; (k) except as disclosed in the disclosure schedules, no material third-party consent is required for Seller’s execution or performance of this Agreement; and (l) since the date of the most recent financial statements, there has not been a Material Adverse Effect.</w:t>
      </w:r>
    </w:p>
    <w:p>
      <w:r>
        <w:t>7. Indemnification. Following Closing, Seller shall indemnify Buyer for losses arising from breaches of Seller representations, breaches of Seller covenants, and pre-Closing taxes of the Company, subject to customary limitations, including: (a) no indemnification for representation breaches unless aggregate recoverable losses exceed USD 425,000, after which only amounts in excess of such threshold shall be recoverable; (b) an aggregate cap for representation breach claims equal to 10% of the Purchase Price, except for fraud, willful misconduct, title to Shares, authority, and tax matters; (c) survival of general representations for 18 months after Closing, and survival of fundamental and tax representations until 60 days after expiration of the applicable statute of limitations; and (d) Buyer’s obligation to use commercially reasonable efforts to mitigate losses and pursue available insurance or third-party recoveries.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