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43,500,000 for the Shares at Closing by wire transfer of immediately available funds to an account designated by the Seller.</w:t>
      </w:r>
    </w:p>
    <w:p>
      <w:r>
        <w:t>2. Closing. Closing shall occur within 30 days of signing, subject to satisfaction or waiver of the conditions set forth in this Agreement, including Buyer’s completion of confirmatory diligence to its reasonable satisfaction and receipt of any required third-party consents; provided that Buyer shall conduct such diligence promptly and in good faith and shall not unreasonably delay Closing.</w:t>
      </w:r>
    </w:p>
    <w:p>
      <w:r>
        <w:t>3. Representations. The Seller represents that the financial statements fairly present, in all material respects, the financial position and results of operations of the Company as of the dates and for the periods indicated therein, in accordance with applicable accounting principles consistently applied, except as otherwise disclosed to Buyer in writing.</w:t>
      </w:r>
    </w:p>
    <w:p>
      <w:r>
        <w:t>6. Confidentiality. The terms of this Agreement and all negotiations relating hereto are confidential and shall not be disclosed by either party except to its professional advisers, financing sources, or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