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43,000,000 for the Shares, payable in immediately available funds at Closing, subject only to any escrow expressly provided in this Agreement.</w:t>
      </w:r>
    </w:p>
    <w:p>
      <w:r>
        <w:t>2. Closing. Closing shall occur on a date mutually agreed by the Buyer and the Seller, which date shall be as promptly as practicable after satisfaction or waiver of the conditions set forth in this Agreement, including receipt of required third-party, regulatory, and internal approvals and completion of Buyer’s confirmatory due diligence to its reasonable satisfaction. The parties shall cooperate in good faith to satisfy the closing conditions promptly.</w:t>
      </w:r>
    </w:p>
    <w:p>
      <w:r>
        <w:t>3. Representations and Warranties. The Seller represents and warrants to the Buyer that: (a) the Seller has authority to enter into and perform this Agreement; (b) the Seller owns good and valid title to the Shares, free and clear of liens other than restrictions arising under applicable securities laws or this Agreement; (c) the Company’s capitalization is as disclosed to the Buyer; (d) the financial statements provided to the Buyer fairly present, in all material respects, the financial condition of the Company for the periods covered; (e) except as disclosed to the Buyer, the Company has no material undisclosed liabilities; (f) the Company is in material compliance with applicable laws; (g) the Company has filed material tax returns required to be filed and paid material taxes due, except for taxes being contested in good faith; (h) material contracts, litigation, employee matters, and intellectual property matters are as disclosed to the Buyer; and (i) since the date of the most recent financial statements provided to the Buyer, there has been no material adverse change in the Company’s business, taken as a whole.</w:t>
      </w:r>
    </w:p>
    <w:p>
      <w:r>
        <w:t>6. Indemnification; Escrow. Following Closing, the Seller shall indemnify the Buyer for losses arising from breaches of the Seller’s representations, warranties, and covenants and for pre-closing taxes and liabilities of the Company, in each case subject to customary limitations, including survival periods, a deductible or basket, exclusions for disclosed matters, mitigation obligations, and an aggregate cap to be agreed. At Closing, USD 2,000,000 of the Purchase Price shall be deposited into escrow for a period of 12 months solely to secure the Seller’s indemnification obligations, pursuant to an escrow agreement reasonably acceptable to the parties.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Share Purchase Agreement initial Seller draft</dc:subject>
  <dc:creator>Author</dc:creator>
  <cp:keywords/>
  <dc:description/>
  <cp:lastModifiedBy/>
  <cp:revision>1</cp:revision>
  <dcterms:created xsi:type="dcterms:W3CDTF">2013-12-23T23:15:00Z</dcterms:created>
  <dcterms:modified xsi:type="dcterms:W3CDTF">2013-12-23T23:15:00Z</dcterms:modified>
  <cp:category/>
</cp:coreProperties>
</file>