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43,500,000 for the Shares, payable in immediately available funds at Closing. No setoff or deduction shall be made against the Purchase Price except for amounts required to be withheld under applicable law or as expressly agreed in writing by the Seller.</w:t>
      </w:r>
    </w:p>
    <w:p>
      <w:r>
        <w:t>2. Closing. Closing shall occur on the date that is 30 days after signing, or such other date as the parties may agree in writing, subject to satisfaction or waiver of the conditions set forth in this Agreement, receipt of required regulatory and third-party approvals, and delivery of customary closing deliverables; provided that Buyer shall use commercially reasonable efforts to complete any confirmatory diligence and obtain any internal approvals promptly and in no event shall such matters be used to delay Closing beyond 45 days after signing absent a material diligence matter not reasonably apparent as of signing.</w:t>
      </w:r>
    </w:p>
    <w:p>
      <w:r>
        <w:t>3. Representations. The Seller represents that: (a) the Seller owns good and valid title to the Shares, free and clear of liens other than transfer restrictions under applicable securities laws or this Agreement; (b) the financial statements have been prepared in accordance with applicable accounting principles consistently applied and fairly present in all material respects the financial condition of the Company as of the dates indicated, subject to normal year-end adjustments and the absence of notes in the case of unaudited statements; (c) to the Seller's knowledge, the Company has no liabilities required to be reflected on a balance sheet under applicable accounting principles other than liabilities reflected or reserved against in the financial statements or incurred in the ordinary course since the latest balance sheet date; (d) to the Seller's knowledge, since the latest balance sheet date, no material adverse change has occurred; (e) to the Seller's knowledge, the Company is in compliance in all material respects with applicable laws; and (f) the Seller has the requisite authority to enter into and perform this Agreement.</w:t>
      </w:r>
    </w:p>
    <w:p>
      <w:r>
        <w:t>8. Termination; Expenses. This Agreement may be terminated by mutual written consent, by either party if Closing has not occurred by the outside date due to failure of a condition not caused by the terminating party's breach, or by the non-breaching party for an uncured material breach after reasonable notice and opportunity to cure. Each party shall bear its own fees and expenses incurred in connection with the negotiation, execution, and performance of this Agreement, except as otherwise expressly provided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