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42,000,000 for the Shares, payable in immediately available funds at Closing, subject only to the express adjustments, if any, set forth in this Agreement.</w:t>
      </w:r>
    </w:p>
    <w:p>
      <w:r>
        <w:t>2. Closing. Closing shall occur on the date that is 30 days after signing, or such other date as the parties may agree in writing, subject to satisfaction or waiver of the closing conditions expressly set forth in this Agreement and receipt of any required governmental approvals. For the avoidance of doubt, Buyer’s confirmatory diligence shall be completed prior to signing and shall not constitute a separate condition to Closing unless expressly agreed by Seller in writing.</w:t>
      </w:r>
    </w:p>
    <w:p>
      <w:r>
        <w:t>3. Representations of Seller. Seller represents and warrants to Buyer as follows: (a) Seller has full power and authority to enter into and perform this Agreement; (b) Seller owns the Shares free and clear of liens other than restrictions under applicable securities laws and liens arising through Buyer; (c) execution, delivery and performance of this Agreement by Seller do not conflict with Seller’s organizational documents or any material contract binding on Seller; (d) to Seller’s knowledge, the Company is in material compliance with applicable laws; (e) the financial statements delivered to Buyer were prepared in good faith from the Company’s books and records and fairly present in all material respects the financial position of the Company as of the dates indicated; (f) to Seller’s knowledge, the Company has no undisclosed liabilities required by applicable accounting principles to be reflected on the financial statements, except liabilities incurred in the ordinary course of business since the date of the most recent balance sheet; (g) the Company has filed material tax returns required to be filed and paid material taxes due, except those being contested in good faith; (h) Seller has made available to Buyer copies of material contracts requested by Buyer; (i) to Seller’s knowledge, there is no material litigation pending against the Company; (j) to Seller’s knowledge, the Company is in material compliance with applicable employment and benefits laws; (k) to Seller’s knowledge, the Company owns or has the right to use the intellectual property material to its business; (l) to Seller’s knowledge, the Company is in material compliance with applicable data privacy and security laws; (m) to Seller’s knowledge, the Company is in material compliance with applicable environmental laws; and (n) since the date of the most recent financial statements made available to Buyer, there has been no material adverse change in the business, assets, liabilities, financial condition or results of operations of the Company, taken as a whole, other than changes resulting from general economic, market, industry, legal or geopolitical conditions or other matters not disproportionately affecting the Company.</w:t>
      </w:r>
    </w:p>
    <w:p>
      <w:r>
        <w:t>6. Survival; Indemnification; Escrow. The representations and warranties shall survive Closing for 12 months, except that fundamental representations regarding authority and title to the Shares and claims based on fraud shall survive for the applicable statute of limitations. Seller shall indemnify Buyer for losses arising from breaches of Seller’s representations, warranties and covenants, subject to a deductible basket equal to 1.0% of the Purchase Price and an aggregate cap equal to 7.5% of the Purchase Price for non-fundamental representations. Claims for breach of fundamental representations and fraud shall not be subject to the foregoing deductible or general cap, but Seller’s aggregate liability shall not exceed the Purchase Price except in the case of actual fraud. At Closing, 5.0% of the Purchase Price shall be deposited into escrow for 12 months as Buyer’s sole source of recovery for non-fundamental representation claims, except in the case of fraud.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