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customary adjustments for cash, indebtedness, transaction expenses, net working capital relative to a mutually agreed target, and any pre-closing leakage, in each case as finally determined in accordance with the closing statement procedures to be agreed by the parties.</w:t>
      </w:r>
    </w:p>
    <w:p>
      <w:r>
        <w:t>2. Closing. Closing shall occur no later than 45 days after signing, subject to completion of confirmatory due diligence reasonably satisfactory to Buyer and the satisfaction or waiver of the conditions to closing set forth in this Agreement. At Closing, Seller shall deliver customary instruments of transfer for the Shares, resignations of directors and officers as reasonably requested by Buyer, payoff letters and releases for indebtedness to be discharged at Closing, and such other customary deliverables as are reasonably necessary to consummate the transactions contemplated hereby.</w:t>
      </w:r>
    </w:p>
    <w:p>
      <w:r>
        <w:t>3. Representations. Seller represents and warrants to Buyer, subject to customary qualifications and disclosure schedules to be agreed, that: (a) Seller has good and valid title to the Shares, free and clear of liens other than transfer restrictions under applicable securities laws; (b) Seller has full authority to enter into and perform this Agreement, and this Agreement constitutes Seller’s valid and binding obligation, enforceable in accordance with its terms; (c) the Company is duly organized, validly existing, and in good standing in its jurisdiction of organization; (d) the capitalization of the Company is as set forth on the applicable disclosure schedule, and the Shares constitute all of the issued and outstanding equity interests being sold; (e) the financial statements delivered to Buyer have been prepared in accordance with applicable accounting principles consistently applied and fairly present, in all material respects, the financial condition and results of operations of the Company for the periods presented; (f) except as disclosed, the Company has no material undisclosed liabilities; (g) the Company is in material compliance with applicable laws and permits; (h) the Company has timely filed material tax returns and paid material taxes due, subject to customary exceptions for taxes being contested in good faith; (i) the material contracts of the Company are valid and in force, and neither the Company nor, to Seller’s knowledge, any counterparty is in material default thereunder; (j) there is no material litigation pending or, to Seller’s knowledge, threatened against the Company; (k) the Company is in material compliance with applicable employment and benefits laws; (l) the Company owns or has the right to use the intellectual property material to the conduct of its business; (m) since the most recent balance sheet date, there has not been a material adverse change in the business of the Company; and (n) except as disclosed, there are no material related-party transactions involving the Company, Seller, or their respective affiliates.</w:t>
      </w:r>
    </w:p>
    <w:p>
      <w:r>
        <w:t>5. Indemnification. From and after Closing, Seller shall indemnify Buyer for losses arising out of breaches of Seller’s representations, warranties, covenants, and agreements, subject to customary survival periods, baskets, caps, exclusions, mitigation obligations, and claims procedures to be agreed by the parties. Fundamental representations, tax matters, fraud, willful misconduct, and any agreed special indemnities shall be subject to separate limitations to be negotiated. The parties shall discuss in good faith whether any portion of the Purchase Price will be placed in escrow or otherwise held back to secure Seller’s post-closing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