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and Adjustments. The proposed base purchase price for the Shares is USD 41,000,000 on a cash-free, debt-free basis with normalized working capital. The amount payable shall equal that base price, plus Closing cash, less Closing indebtedness and unpaid Company transaction expenses, and plus or minus the amount by which Closing working capital exceeds or falls below an agreed normalized target. Definitions, exclusions, the target and illustrative calculations shall be agreed in a schedule before signing, without double counting any item. Adjustments shall measure the specified Closing balances only and shall not permit a revaluation of the business. The Seller shall deliver an estimated closing statement at least five business days before Closing. At Closing, the Buyer shall pay the estimated adjusted purchase price by wire transfer of immediately available funds, less the escrow described in Clause 5, which shall be deposited with the escrow agent. The Buyer shall deliver its proposed final statement within 60 days after Closing; failing timely delivery, the Seller's estimate shall be final. The Seller shall have 30 days to review and dispute specified items, with reasonable access to relevant records and personnel. Undisputed items shall be final. Unresolved accounting disputes after a further 20 days shall be referred to an independent accountant jointly appointed by the parties, acting as expert and limited to disputed items and the parties' submitted ranges. Its determination shall be binding absent manifest error, with fees allocated in proportion to each party's unsuccessful disputed amounts. Statements shall follow the expressly agreed accounting policies and classifications, then the agreed financial-reporting framework, consistently applied, without purchase accounting or post-Closing policy changes. Final balancing payments shall be made within five business days after determination. No disputed claim may be unilaterally withheld from the Closing payment. Following Closing, set-off shall be permitted only for amounts agreed in writing or finally determined under this Agreement, subject to Clause 5 and without double recovery.</w:t>
      </w:r>
    </w:p>
    <w:p>
      <w:r>
        <w:t>2. Closing and Conditions. The parties shall target Closing within 30 days after signing, on a mutually agreed date, and in any event within five business days after satisfaction or permitted waiver of the conditions, other than conditions to be satisfied at Closing. Closing shall be conditional on required regulatory approvals, absence of any legal prohibition, receipt of material third-party consents specifically listed at signing, each party's performance of its covenants in all material respects, and the accuracy of each party's fundamental representations in all material respects and other representations except for inaccuracies not materially adverse to that party's ability to complete or, in the case of the Company, not constituting a Material Adverse Effect. Materiality qualifications shall not be applied twice. Buyer's obligation shall also be conditional on absence of a Material Adverse Effect on the Company taken as a whole. Material Adverse Effect excludes general economic, market, industry, legal and accounting changes, war, pandemics and effects of the announcement or performance of this transaction, except that general external changes may be considered to the extent disproportionately affecting the Company relative to comparable industry participants. Failure to meet projections alone is not a Material Adverse Effect, without excluding otherwise qualifying underlying causes. Neither diligence satisfaction nor further internal Buyer approval shall be a condition after signing. Buyer shall provide reasonable evidence of available funding before signing; Closing shall not be subject to financing. The parties shall use reasonable best efforts to satisfy the conditions. Either party may terminate if Closing has not occurred by 60 days after signing, unless its material breach caused the failure to close. Either party may also terminate for the other's material breach preventing satisfaction of a condition and remaining uncured for 15 business days after notice, or upon a final, nonappealable legal prohibition. Termination shall preserve confidentiality and liability for prior breach. At Closing, Seller shall transfer the Shares free of encumbrances against simultaneous payment and escrow funding.</w:t>
      </w:r>
    </w:p>
    <w:p>
      <w:r>
        <w:t>3. Representations, Disclosure and Interim Covenants. Before signing, Seller shall provide the financial statements to be covered by the representations and proposed disclosure schedules identifying exceptions with sufficient specificity to disclose their nature and scope. General references to a data room shall not qualify a representation; cross-disclosure shall apply only where relevance is reasonably apparent. The parties shall identify and agree before signing the applicable accounting framework, whether US GAAP or IFRS as applicable to the Company, and the covered statement dates and periods. Seller shall represent at signing and Closing that those statements fairly present, in all material respects, the Company's financial position and results in accordance with that framework, consistently applied; unaudited statements may omit footnotes and remain subject to normal year-end adjustments not materially adverse in the aggregate. Definitive documentation shall include Seller representations covering authority and enforceability, title to the Shares, capitalization, taxes, undisclosed liabilities, material contracts, litigation, compliance with law, employment and intellectual property, with negotiated scope, materiality and knowledge qualifications and specific disclosure exceptions. Knowledge shall mean actual knowledge of identified senior officers following reasonable inquiry of their direct reports responsible for the relevant subject. Buyer shall give representations concerning authority, enforceability, absence of conflicting obligations and availability of funds. Between signing and Closing, Seller shall cause the Company to operate in the ordinary course and use commercially reasonable efforts to preserve the business and material relationships. Except as expressly scheduled, required by law or permitted by this Agreement, material acquisitions or disposals, new material indebtedness, distributions, changes to share capital, material amendments to material contracts and material out-of-course compensation commitments shall require Buyer's prior written consent, not unreasonably withheld, conditioned or delayed. These covenants shall not confer pre-Closing control on Buyer. Seller shall provide reasonable diligence access before signing, subject to confidentiality, privilege, applicable law and protection against unreasonable business disruption.</w:t>
      </w:r>
    </w:p>
    <w:p>
      <w:r>
        <w:t>4. Confidentiality. Each party shall keep confidential the terms of this Agreement, transaction negotiations and all nonpublic information received in connection with the transaction, including diligence materials, and shall use that information solely to evaluate, finance or implement the transaction. Disclosure may be made to affiliates, professional advisers, other representatives and prospective financing sources having a need to know and bound by confidentiality and restricted-use duties at least as protective as this clause or equivalent professional duties. Each party shall be responsible for breaches by its recipients. Confidential information excludes information demonstrably public other than through breach, already lawfully held without restriction, independently developed, or lawfully received from an unrestricted third-party source. Legally required disclosure shall be limited to what is required, with prior notice where lawful and reasonable cooperation to obtain protective treatment. Neither party shall make a public announcement without the other's prior written consent except as legally required. If the transaction does not complete, recipients shall on request return or destroy confidential materials, except legally required or routine archival copies, which remain protected. These duties survive termination for three years, and trade secrets remain protected while qualifying as such under applicable law.</w:t>
        <w:br/>
        <w:br/>
        <w:t>5. Proposed Indemnification and Escrow. Subject to agreement of definitive claim procedures before signing, Seller proposes an escrow equal to 5% of the base purchase price, funded from Closing proceeds with a mutually acceptable independent agent. General representation claims shall survive for 12 months after Closing, be subject to a deductible basket of 0.5% of the base purchase price and an aggregate cap equal to the escrow, and have exclusive monetary recourse to that escrow. Fundamental representations concerning authority, title and capitalization shall survive for three years, with aggregate Seller liability capped at the purchase price actually received. Tax representations and an agreed indemnity for pre-Closing taxes shall survive until 60 days after expiry of the applicable limitation period, subject to that same overall cap. Covenant claims shall survive for the applicable contractual performance period and applicable limitation period, subject to the overall purchase-price cap. Completion-account balancing payments are separate payment obligations, not subject to the representation basket or cap. A Buyer balancing-payment claim shall be satisfied first from available escrow, with Seller directly responsible for any shortfall; use of escrow for a balancing payment shall not increase the aggregate general-representation cap. Escrow shall be released after 12 months less reasonable reserves for specifically notified unresolved claims or adjustment disputes, with reserves released promptly on resolution. Escrow disbursements require joint written instructions or a final binding determination. Claims shall require reasonable particulars, mitigation and credit for actual insurance or third-party recoveries and realized tax benefits, without double recovery; losses shall exclude punitive damages except those payable to third parties. Third-party claim procedures shall provide notice, reasonable defense participation and protection against settlements imposing unconsented admissions or nonmonetary obligations. These remedies shall be exclusive after Closing except for payment obligations, equitable enforcement, and actual fraud by the party against whom relief is sought. No contractual cap or exclusion shall limit that party's liability for its actual fraud.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