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counterclaim.</w:t>
      </w:r>
    </w:p>
    <w:p>
      <w:r>
        <w:t>2. Closing. Closing shall occur within 30 days of signing, subject to satisfaction or waiver by the party entitled to the benefit thereof of the closing conditions expressly agreed in this Agreement, or on such other date as the parties agree in writing. The Buyer's obligation to complete the purchase shall not be subject to obtaining financing. Payment of the Purchase Price and transfer of the Shares shall occur simultaneously.</w:t>
      </w:r>
    </w:p>
    <w:p>
      <w:r>
        <w:t>3. Representations. Except as fairly disclosed in the disclosure schedules delivered by the Seller at signing, the Seller represents that the financial statements identified in those schedules fairly present, in all material respects, the financial position and results of operations of the Company as of their respective dates and for their respective periods, in accordance with the accounting principles specified therein, consistently applied. Unaudited financial statements are subject to normal year-end adjustments and the absence of footnotes. No representation or warranty is made concerning projections, forecasts or other forward-looking information.</w:t>
      </w:r>
    </w:p>
    <w:p>
      <w:r>
        <w:t>4. Confidentiality. Each party shall keep confidential the terms of this Agreement and non-public information received from the other party in connection with the transaction, except for disclosures required by applicable law, regulation or legal process, or to its professional advisers and financing sources who need to know such information and are bound by confidentiality obligations. Where legally permitted, a party making a required disclosure shall give the other party reasonable prior notice and cooperate in limiting that disclosure. Neither party shall make a public announcement concerning the transaction without the other's prior written consent, except as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