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base purchase price for the Shares is USD 40,000,000, subject to agreement before signing on whether that amount represents enterprise value or equity value and on a detailed equity-value bridge. The final Purchase Price shall reflect only the agreed adjustments for cash, debt, debt-like items, unpaid Company transaction expenses and the difference between closing working capital and an agreed normalized working-capital target. The definitions, target, illustrative calculation and accounting policies shall be attached at signing; no item shall be counted more than once or recovered both through an adjustment and an indemnity. The Seller shall deliver an estimated closing statement at least five business days before Closing. At Closing, the Buyer shall pay the estimated Purchase Price by wire transfer of immediately available funds, less the escrow deposit specified in Section 3, and shall deposit that amount with the agreed escrow agent. The Buyer shall deliver completion accounts within 60 days after Closing; the Seller shall have 30 days to object with reasonable detail and shall receive reasonable access to supporting records and relevant personnel. Matters not disputed shall be final. Unresolved accounting disputes remaining after 20 business days of good-faith discussions shall be submitted to a mutually appointed independent accountant acting as expert, not arbitrator, applying the agreed policies and deciding only disputed items within the parties' respective submitted positions. The expert's determination shall be final absent manifest error; its fees shall be allocated in proportion to each party's unsuccessful disputed amounts. Any resulting payment shall be made within five business days after final determination. No unilateral set-off against the Purchase Price is permitted; recovery from escrow and other recovery rights are governed exclusively by Section 3.</w:t>
      </w:r>
    </w:p>
    <w:p>
      <w:r>
        <w:t>2. Closing. The parties shall target Closing within 30 days after signing. Closing shall be conditional upon receipt of required regulatory approvals and the material third-party consents expressly listed at signing, absence of any legal prohibition, delivery of good title to the Shares free of encumbrances, material compliance with pre-closing covenants and the bring-down of representations. Title, authority and capitalization representations shall be true in all respects at Closing; other representations shall be true in all material respects, except those already qualified by materiality, which shall be true as qualified, and representations expressly made as of an earlier date, which shall be tested as of that date. Diligence shall be completed to the Buyer's satisfaction before signing; any specifically identified outstanding matter shall be addressed by an objectively defined condition agreed at signing, not a general post-signing satisfactory-diligence condition. The Buyer shall provide evidence of its proposed funding arrangements before signing. Any financing-related condition, funding commitments and consequences of funding failure must be expressly agreed in the definitive agreement before signing; no general financing condition is agreed by this draft. Conditions may be waived only by the party entitled to their benefit, to the extent lawful. Either party may terminate if Closing has not occurred by 60 days after signing, unless that party's breach has materially caused the failure to close; the parties may extend that date in writing. Either party may also terminate for the other's material breach preventing satisfaction of a closing condition if not cured within 10 business days after notice, or upon a final non-appealable legal prohibition. Termination shall not affect accrued rights for antecedent breach, and confidentiality shall survive. Payment of the Purchase Price, deposit of escrow and transfer of the Shares shall occur simultaneously.</w:t>
      </w:r>
    </w:p>
    <w:p>
      <w:r>
        <w:t>3. Representations and Remedies. The definitive agreement shall include Seller representations, given at signing and brought down under Section 2, concerning: the Seller's ownership of and ability to transfer the Shares free of encumbrances; authority and enforceability; the Company's capitalization and absence of undisclosed rights to acquire securities; financial statements; taxes and tax filings; absence of undisclosed material liabilities other than those reflected or reserved in the identified accounts or incurred in the ordinary course since their date; material contracts and material defaults; material litigation; material compliance with law; and material employment and employee-benefit matters. Company-business representations shall be subject to appropriate, specifically negotiated materiality and actual-knowledge qualifications; knowledge shall mean the actual knowledge of named Seller personnel after reasonable inquiry of responsible Company officers. Title, authority and capitalization representations shall not be knowledge-qualified.</w:t>
        <w:br/>
        <w:t>The financial statements, including their dates, periods, audit status and applicable accounting standards, shall be expressly identified in an attached financial-statement schedule agreed before signing. The Seller shall represent that those statements fairly present, in all material respects, the Company's financial position and results for the identified dates and periods in accordance with those standards, consistently applied. Unaudited statements may be qualified only for normal year-end adjustments that are not material individually or in aggregate and omitted footnotes specifically identified in that schedule. Disclosure exceptions must identify their nature and scope in sufficient detail to permit a reasonable buyer to understand the exception; disclosure against another representation shall qualify it only where its relevance is reasonably apparent on the face of the disclosure. Mere inclusion in a data room shall not constitute disclosure. No representation is made concerning projections, forecasts or other forward-looking information; this disclaimer does not qualify historical factual representations or exclude liability for fraud.</w:t>
        <w:br/>
        <w:t>The Seller proposes indemnification for actual losses arising from breaches of representations or covenants, subject to mitigation, no double recovery and credit for insurance or third-party recoveries actually received net of reasonable recovery costs. General representations shall survive for 18 months after Closing, with a USD 25,000 per-claim de minimis, a deductible basket equal to 1% of the final Purchase Price and an aggregate cap of 10% of the final Purchase Price. Title, authority and capitalization representations shall survive for six years, and tax representations and a customary pre-Closing tax indemnity shall survive until 60 days after expiry of the applicable statutory limitation period; these claims shall not be subject to the de minimis or basket. Aggregate Seller liability under the agreement shall not exceed the final Purchase Price, except for fraud. Covenants shall survive for their stated periods or until performed. Nothing shall exclude or limit liability for fraud.</w:t>
        <w:br/>
        <w:t>At Closing, 5% of the estimated Purchase Price shall be placed in escrow for 18 months. Timely, reasonably detailed notices of claims shall preserve those claims until resolved, and only the reasonably specified amount of unresolved claims shall remain reserved after the release date. Escrow disbursements for claims require joint written instructions or a final binding determination; a claim notice alone does not authorize payment. Escrow shall be the first source, but not the exclusive source, of recovery, subject to the applicable caps. The definitive agreement shall include customary third-party claim defense, participation and settlement protections. Except for fraud, specific performance and completion-account payments, these negotiated indemnities shall be the exclusive monetary remedies after Closing.</w:t>
      </w:r>
    </w:p>
    <w:p>
      <w:r>
        <w:t>4. Confidentiality. Each party shall keep confidential the terms of this Agreement and non-public information received from the other party in connection with the transaction and shall use that information solely to evaluate, finance or implement the transaction. A party may disclose such information on a need-to-know basis to its professional advisers, affiliates and their relevant personnel, investment committee members, and prospective debt and equity financing sources, provided those recipients are bound by contractual, professional or other enforceable confidentiality and restricted-use duties at least as protective as this Section. Each party shall be responsible for breaches by recipients to whom it discloses information. Confidentiality obligations shall not apply to information the receiving party can demonstrate was already lawfully known without restriction, was independently developed without use of confidential information, is publicly available other than through breach, or was lawfully obtained from another source without a confidentiality restriction. Disclosures required by applicable law, regulation or legal process are permitted only to the extent required. Where legally permitted, the disclosing party shall give reasonable prior notice and reasonably cooperate, at the other party's expense, in seeking protective treatment and limiting disclosure. Neither party shall make a public announcement concerning the transaction without the other's prior written consent, except as legally required and subject to the foregoing notice and cooperation safeguards.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