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proposed base purchase price for the Shares is USD 40,000,000 on a cash-free, debt-free basis with normalized working capital. The Purchase Price shall equal that base amount plus Closing Cash, less Closing Debt and unpaid Company Transaction Expenses, and plus or minus the amount by which Closing Working Capital exceeds or falls below the agreed normalized working-capital target. Before signing, the parties shall agree schedules defining each adjustment category, the target and the applicable accounting policies, including an exhaustive list of debt-like items. No item shall be counted more than once, and Cash, Debt and Transaction Expenses shall be excluded from Working Capital. The target shall reflect normalized historical trading and seasonality. The agreed specific policies shall take precedence over the Company's consistently applied historical accounting practices, with the identified accounting standards applying thereafter; no purchase accounting or changes resulting from the Buyer's post-Closing actions shall affect the adjustments. At least five Business Days before Closing, the Seller shall deliver a good-faith estimated completion statement with supporting calculations. At Closing, the Buyer shall pay the resulting estimated Purchase Price by wire transfer of immediately available funds, less only the expressly agreed escrow deposit and any withholding required by law. Any required withholding shall be remitted promptly to the relevant authority and supported by evidence provided to the Seller. No other set-off or deduction is permitted. The Buyer shall deliver proposed completion accounts within 60 days after Closing, and shall provide the Seller and its advisers reasonable access to the relevant records and personnel. The Seller shall have 30 days after receipt to object with reasonable particulars; absent timely delivery by the Buyer, the Seller's estimated statement shall become final, and absent timely objection by the Seller, the Buyer's statement shall become final. Unresolved accounting disputes remaining after 20 Business Days of consultation shall be referred to an independent accountant jointly appointed by the parties, acting as expert and not arbitrator, whose determination shall be confined to disputed items and the parties' respective proposed amounts and shall be binding absent manifest error. If the parties cannot agree an appointment within ten Business Days, either may request appointment by the president of a mutually agreed professional accounting body identified before signing. The expert shall allocate its fees in proportion to the parties' relative lack of success. Any final adjustment shall be paid within five Business Days after final determination. The Buyer's obligation to complete is not conditional upon financing or post-signing satisfaction with diligence. Diligence and the adjustment schedules must be resolved before signing. These proposed economic terms are nonbinding until definitive documentation is executed.</w:t>
      </w:r>
    </w:p>
    <w:p>
      <w:r>
        <w:t>2. Closing; Interim Conduct; Termination. The parties shall use reasonable best efforts to achieve Closing within 30 days after signing. Closing shall occur within five Business Days after satisfaction or permitted waiver of the applicable conditions, or on another agreed date. Conditions shall be limited to legally required regulatory approvals, the material third-party consents expressly listed before signing, absence of any effective legal prohibition or injunction, performance in all material respects of pre-Closing covenants, and accuracy of representations at signing and Closing (or their expressly specified date). Fundamental representations shall be accurate in all material respects; inaccuracies in other representations shall prevent Closing only if, disregarding individual materiality qualifications for this purpose, they would collectively have a material adverse effect on the Company taken as a whole. The definition of material adverse effect and its customary exclusions shall be agreed before signing. There shall be no separate financing or discretionary diligence condition. The Buyer shall pursue approvals and funding diligently, and each party shall reasonably cooperate in obtaining the specified consents. Closing shall involve simultaneous delivery of the Closing payment and escrow funding, duly executed share-transfer instruments, applicable share certificates and agreed evidence of the Seller's unencumbered title and release of any share encumbrances. From signing until Closing, the Seller shall procure that the Company operates in the ordinary course consistent with past practice and does not make distributions, incur material new indebtedness outside ordinary-course facilities, dispose of material assets outside the ordinary course, or enter into non-arm's-length transactions with the Seller or its affiliates, except as expressly scheduled, required by law or approved by the Buyer, whose consent shall not be unreasonably withheld, conditioned or delayed. Permitted distributions and related-party payments shall be identified before signing; unauthorized leakage shall be reimbursed dollar for dollar, without double recovery through the price adjustments or indemnities. The Buyer shall receive reasonable access on notice during business hours, subject to confidentiality, privilege, applicable law and avoidance of unreasonable disruption; no contact with employees, customers or suppliers shall occur without the Seller's prior consent. Either party may terminate if Closing has not occurred by 90 days after signing, unless its own material breach caused the failure to close, or if a final, nonappealable order permanently prohibits Closing. A nonbreaching party may terminate for the other party's material breach that would cause a Closing condition to fail and remains uncured for 20 Business Days after notice, or is incapable of cure by the outside date. Termination shall not affect accrued rights for prior breach, and confidentiality shall survive.</w:t>
      </w:r>
    </w:p>
    <w:p>
      <w:r>
        <w:t>3. Representations; Disclosures; Remedies. Before signing, the Seller shall provide the complete financial statements to be covered by the representations, identify the applicable accounting standards and deliver a proposed disclosure schedule sufficiently detailed to permit informed review of the nature and scope of disclosed matters. The final schedule shall be agreed and delivered at signing; disclosure against one representation shall qualify another only where its relevance is reasonably apparent. Except as fairly disclosed, the Seller shall represent its authority and enforceable execution of this Agreement, ownership of and unencumbered title to the Shares, and the Company's capitalization, including outstanding shares, options and other equity rights. The Seller shall also give customary, appropriately qualified representations concerning the Company's organization and authority, financial statements, undisclosed liabilities, tax compliance and liabilities, material contracts, litigation, compliance with law and employee matters, with detailed scope, materiality and knowledge qualifications to be settled before signing. The identified financial statements shall fairly present in all material respects the Company's financial position and results for the relevant dates and periods in accordance with the identified accounting standards, consistently applied, subject for unaudited statements to disclosed normal year-end adjustments and absence of footnotes. No representation is made as to the achievement of forecasts, projections or other forward-looking information; this exclusion does not qualify representations concerning historical facts. The Buyer shall represent its authority, enforceable execution and availability at Closing of sufficient funds to complete, and shall provide satisfactory evidence of committed funding before signing.</w:t>
        <w:br/>
        <w:br/>
        <w:t>The Seller shall indemnify the Buyer for actual losses arising from breaches of the Seller's express representations or covenants, subject to mitigation, no double recovery and credit for insurance proceeds and tax benefits actually realized, net of reasonable recovery costs. General representations shall survive for 12 months after Closing. General representation claims shall be subject to a USD 25,000 per-claim threshold (related claims aggregated), a deductible basket of 1% of the base purchase price and an aggregate cap of 10% of the base purchase price. Authority, title and capitalization representations shall survive for three years and be capped at the Purchase Price received by the Seller. Tax representations and an agreed indemnity for pre-Closing taxes not already reflected in the price adjustments shall survive until 60 days after the applicable statutory assessment period expires and be subject to the same overall Purchase Price cap, but not the general threshold or basket. Covenant claims shall survive for 12 months following the date performance is due and be subject to the overall Purchase Price cap, but not the general threshold or basket. Claims notified before expiry with reasonable particulars shall survive until resolved. All Seller liabilities collectively shall not exceed the Purchase Price received, except to the extent arising from fraud or otherwise incapable of limitation by law. Fraud claims are preserved and are not subject to the contractual thresholds, caps or survival periods. No party shall recover punitive damages except amounts actually payable to a third party. Third-party claims shall be subject to reasonable notice, defense-control and settlement-consent procedures, with no settlement imposing nonmonetary obligations or admissions on the indemnified party without its consent. Contractual indemnification shall be the exclusive post-Closing monetary remedy for matters covered by it, except for fraud and the express payment and adjustment obligations; equitable relief remains available. At Closing, 2% of the base purchase price shall be deposited with an independent escrow agent under an agreed escrow agreement as security for indemnity claims, not as an additional liability cap. The escrow shall be released after 12 months, less reasonable reserves for specifically notified unresolved claims; reserved amounts shall be released promptly upon resolution. No disputed claim shall be paid from escrow without joint written instructions or a final binding determination.</w:t>
      </w:r>
    </w:p>
    <w:p>
      <w:r>
        <w:t>4. Confidentiality. Each party shall keep the terms of this Agreement, the negotiations and confidential information received in connection with the transaction confidential and use that information solely to evaluate, finance or implement the transaction. Disclosure is permitted to professional advisers, representatives, relevant affiliates and prospective financing sources who need to know for those purposes and are bound by professional duties or confidentiality obligations no less protective in substance than this clause. Each party shall be responsible for compliance by its recipients. Disclosure required by applicable law, regulation or legal process is permitted only to the extent required. To the extent legally permitted, the disclosing party shall give the other party advance notice and reasonably cooperate to seek protection or limit disclosure. Neither party shall make a public announcement concerning the transaction without the other's prior written consent, except as required by applicable law and subject to the foregoing notice and cooperation requirements. These obligations supplement, and do not reduce protections under, any existing confidentiality agreement between the parties.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