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Adjustments; Payment. Seller proposes a base purchase price of USD 40,000,000 for all issued shares of the Company (the Shares), on a cash-free, debt-free basis with normalized working capital. The price payable shall equal that amount plus unrestricted cash and cash equivalents of the Company at Closing, less outstanding indebtedness and unpaid Company transaction expenses at Closing, and plus or minus the amount by which Closing working capital exceeds or falls short of an agreed normalized working-capital target. Before signing, the parties shall agree a schedule defining each component, including the exhaustive categories of debt-like items, treatment of leases and taxes, the working-capital target and its supporting historical reference period, and a sample calculation. Working capital shall exclude cash, indebtedness and transaction expenses; no item shall be counted twice. The agreed specific accounting policies shall prevail, followed by the policies consistently used in the identified historical financial statements, and then the agreed accounting standards. No purchase-accounting adjustments or changes arising solely from Buyer's post-Closing decisions shall be included.</w:t>
        <w:br/>
        <w:t>Seller shall provide a good-faith estimated Closing statement at least five business days before Closing. Buyer shall deliver completion accounts within 60 days after Closing, with supporting records. Seller shall have 30 days after receipt to object with reasonable particulars; otherwise those accounts become final. Buyer shall provide Seller and its advisers reasonable access to relevant personnel and records. Unresolved items shall be negotiated for 20 business days and then referred to a mutually appointed independent accounting firm acting as expert, not arbitrator. Its mandate shall be confined to disputed accounting items, the agreed policies, and the parties' proposed ranges. Its determination shall be binding absent manifest error, with fees allocated in proportion to each party's unsuccessful disputed amounts. Legal interpretation disputes remain subject to the agreed dispute-resolution provisions. Final adjustment payments shall be made within five business days after determination.</w:t>
        <w:br/>
        <w:t>At Closing, Buyer shall pay the estimated adjusted price in immediately available funds, with 5% of the base purchase price deposited into an indemnity escrow with a mutually acceptable independent agent and the balance paid to Seller. Wire instructions and any changes shall be independently verified by callback using previously authenticated contact details. No unilateral set-off, deduction or counterclaim is permitted. This restriction does not prevent payment of final purchase-price adjustments or recovery from escrow under the expressly agreed indemnification procedures; an asserted claim alone does not permit withholding. The escrow shall be released 12 months after Closing, less amounts reasonably reserved for timely notified, specifically described unresolved claims, with remaining reserves released promptly upon resolution. The escrow agreement and permitted investment and distribution instructions shall be agreed before signing.</w:t>
        <w:br/>
        <w:t>Buyer shall confirm its funding arrangements before signing and represent at signing and Closing that it has sufficient available funds or binding funding commitments to complete the transaction. Buyer shall maintain those commitments and promptly notify Seller of any threatened funding shortfall. Obtaining financing shall not be a condition to Closing.</w:t>
      </w:r>
    </w:p>
    <w:p>
      <w:r>
        <w:t>2. Signing; Closing; Interim Covenants; Termination. The parties shall target Closing within 30 days after signing. Diligence, review of the disclosure schedules and identified financial statements, and agreement of all schedules and definitive documentation shall be completed before signing; there shall be no post-signing discretionary diligence or internal-approval condition. Closing shall occur on an agreed date within five business days after satisfaction or lawful waiver of the conditions, subject to an outside date 90 days after signing. The outside date shall extend once by 30 days if only a required regulatory approval remains outstanding and the parties are complying with their approval covenants.</w:t>
        <w:br/>
        <w:t>Mutual conditions shall be receipt of legally required approvals, absence of a legal restraint on Closing, and readiness to exchange agreed closing deliverables. Buyer's conditions shall be receipt of the material third-party consents specifically listed before signing, accuracy in all material respects of Seller's representations at Closing (representations already qualified by materiality tested as written, and specified-date representations tested at their specified dates), and Seller's material compliance with its covenants. Seller's conditions shall be corresponding accuracy of Buyer's representations, Buyer's material covenant compliance, and payment of the Closing consideration. Conditions benefiting a party may be waived by that party only to the extent lawful. Payment, execution of the escrow agreement, delivery of share-transfer instruments and share certificates or agreed equivalents, and exchange of authority documents, agreed officer certificates, and releases of agreed security interests shall occur simultaneously.</w:t>
        <w:br/>
        <w:t>Between signing and Closing, Seller shall cause the Company to operate in the ordinary course consistent with past practice and use commercially reasonable efforts to preserve its business. Except as disclosed in an agreed schedule, required by law or this Agreement, or approved by Buyer (approval not unreasonably withheld, conditioned or delayed), the Company shall not issue securities, make distributions, incur material non-ordinary-course debt, dispose of material assets, enter into or materially amend material non-ordinary-course contracts, materially change compensation outside ordinary-course arrangements, or make material tax elections inconsistent with past practice. Buyer shall have reasonable access on notice, subject to confidentiality, privilege, applicable law and noninterference with operations; no customer or employee contact without Seller's consent. Both parties shall use commercially reasonable efforts to obtain approvals and listed consents and complete Closing. No party shall be required to accept a material divestiture or material restriction on its business without its consent.</w:t>
        <w:br/>
        <w:t>This Agreement may be terminated by mutual written consent; by either party if Closing has not occurred by the outside date or a final, nonappealable legal restraint prohibits Closing; or by the nonbreaching party for a material breach causing a closing condition to fail that remains uncured 15 business days after written notice or is incapable of cure before the outside date. A party whose material breach caused the failure to close may not terminate on that basis. Termination shall not affect accrued liability for prior breach, confidentiality obligations or applicable remedies, including specific performance where available. Governing law, forum and detailed enforcement provisions shall be agreed before signing.</w:t>
      </w:r>
    </w:p>
    <w:p>
      <w:r>
        <w:t>3. Representations; Disclosure; Indemnification. Before signing, Seller shall deliver for Buyer's review a disclosure schedule containing specific exceptions fairly disclosed in sufficient detail to identify their nature and scope. An exception qualifies the representation to which it is cross-referenced and another representation only where its relevance is reasonably apparent on its face. Mere inclusion in a data room shall not constitute disclosure. The financial statements shall be expressly identified before signing as [audited annual balance sheets and related income, cash-flow and equity statements for fiscal years ending: dates to be agreed] and [unaudited interim balance sheet and related income and cash-flow statements for period ending: date to be agreed], prepared under [specified accounting standards to be agreed]. These identifiers and standards must be completed before execution.</w:t>
        <w:br/>
        <w:t>Subject to that schedule, Seller represents at signing and Closing that: (a) Seller owns the Shares free of encumbrances other than agreed restrictions released at Closing, has authority to enter into and perform this Agreement, and will transfer good title; (b) the Company is duly organized and validly existing, its disclosed capitalization is accurate, and no undisclosed rights to acquire its securities exist; (c) the identified financial statements fairly present, in all material respects, the Company's financial position and results in accordance with the identified accounting standards consistently applied, subject for interim statements to normal year-end adjustments and absence of footnotes; (d) the Company has no material liabilities required to be reflected under those standards except as reflected or reserved in the statements, disclosed in the schedule, or incurred in the ordinary course since the latest balance-sheet date; (e) all material tax returns required to be filed have been timely filed and are materially accurate, material taxes due have been paid or adequately reserved, and no material tax disputes are pending or, to Seller's knowledge, threatened in writing; (f) the schedule identifies material contracts, which are in force, with no material Company default or, to Seller's knowledge, material counterparty default; (g) no material litigation is pending or, to Seller's knowledge, threatened in writing; (h) the Company complies in all material respects with applicable laws, including employment, anti-bribery, environmental and data-protection laws, and holds the material permits required for its business; (i) material employment and benefit arrangements are disclosed, with no material undisclosed employment disputes; (j) the Company owns or has enforceable rights to use the material intellectual property required for its business and, to Seller's knowledge, its operations do not materially infringe third-party rights; and (k) the Company owns or validly leases its material operating assets, subject to disclosed permitted encumbrances. 'Seller's knowledge' means the actual knowledge, after reasonable inquiry of relevant direct reports, of the individuals identified by agreement before signing. Buyer shall give customary representations concerning organization, authority, enforceability, absence of conflicting obligations, funding and brokers.</w:t>
        <w:br/>
        <w:t>No representation is made regarding projections, forecasts or future performance. That disclaimer does not qualify express representations concerning historical facts or exclude liability for fraud. Any additional reliance provisions must be expressly negotiated before signing.</w:t>
        <w:br/>
        <w:t>Seller shall indemnify Buyer for direct losses arising from breach of Seller's express representations and pre-Closing covenants and for unpaid Company taxes attributable to pre-Closing periods, subject to the following proposed limitations. General representations shall survive for 12 months after Closing. Claims shall be subject to a USD 25,000 individual-claim threshold and a deductible equal to 1% of the base purchase price, with aggregate recovery capped at the 5% escrow, which shall be the exclusive source for general representation claims. Title, authority and capitalization representations shall survive for three years, and tax representations and the pre-Closing tax indemnity until 60 days after the relevant statutory limitation period. Those fundamental and tax claims shall not be subject to the general thresholds or escrow-only limitation, but, together with all other Seller liability under this Agreement, shall not exceed the base purchase price, except for fraud. Pre-Closing covenant claims must be notified within 12 months after Closing and shall be capped at 10% of the base purchase price; post-Closing covenants survive in accordance with their terms. Buyer shall indemnify Seller for breach of Buyer's representations and covenants, with reciprocal general limitations where applicable, excluding Buyer's payment obligations.</w:t>
        <w:br/>
        <w:t>Claims must be notified within the applicable survival period with reasonable detail and an estimate where practicable; properly notified claims survive until resolved. The indemnifying party may control third-party monetary claims with competent counsel, subject to conflicts, regulatory or criminal matters, and protection against nonmonetary relief or admissions without the indemnified party's consent. Each party shall mitigate losses reasonably. Recovery shall be reduced by insurance proceeds and tax benefits actually realized, net of reasonable recovery costs, and shall exclude duplicate recovery, amounts already reflected in price adjustments, punitive damages and remote consequential losses, except amounts payable to third parties. Escrow distributions require joint written instruction or final binding determination. Contractual indemnification shall be the exclusive post-Closing monetary remedy for covered matters, without limiting express price adjustments, payment obligations, equitable relief or liability for fraud. Tax allocation, conduct of tax claims and remaining procedural provisions shall be agreed before signing.</w:t>
      </w:r>
    </w:p>
    <w:p>
      <w:r>
        <w:t>4. Confidentiality. Each party shall keep confidential this Agreement, its terms, negotiations, and nonpublic information exchanged in connection with the transaction, including diligence materials, and use such information solely to evaluate, finance and implement the transaction. A party may disclose information on a need-to-know basis to its affiliates, directors, officers, employees, professional advisers and bona fide financing sources who are bound by confidentiality and use restrictions no less protective than these provisions or equivalent professional duties. Each party shall be responsible for breaches by recipients to whom it discloses information. Confidential information excludes information demonstrably public other than through breach, already lawfully held without restriction, independently developed without use of confidential information, or lawfully obtained from a third party without a duty of confidence.</w:t>
        <w:br/>
        <w:t>Disclosures required by law, regulation or binding legal process are permitted only to the extent required. To the extent legally permitted, the disclosing party shall give prompt advance notice, reasonably cooperate in seeking confidential treatment at the other party's expense, and disclose only the legally required portion. No public announcement may be made without the other party's prior written consent, except as legally required subject to those protections. If the transaction terminates, confidential information shall be returned or destroyed on request, except for legally required or routine archival copies, which remain protected. These obligations survive termination for three years, and for trade secrets for so long as they remain trade secrets under applicable law. Any existing confidentiality agreement remains effective pending agreement before signing on its coordination with this clause.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