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Buyer shall pay the Seller USD 45,000,000 for the Shares at Closing by wire transfer of immediately available funds to an account designated by the Seller, without set-off or counterclaim.</w:t>
      </w:r>
    </w:p>
    <w:p>
      <w:r>
        <w:t>2. Closing. Closing shall occur within 30 days of signing on a date mutually agreed by the parties, subject to receipt of any legally required regulatory approvals. At Closing, the Seller shall transfer the Shares against simultaneous payment of the Purchase Price. The Buyer's obligation to complete the purchase is not subject to obtaining financing.</w:t>
      </w:r>
    </w:p>
    <w:p>
      <w:r>
        <w:t>3. Representations. Except as disclosed in the disclosure schedule delivered by the Seller at signing, the Seller represents that the financial statements identified in that schedule fairly present, in all material respects, the financial position and results of operations of the Company as of their respective dates and for the periods covered, in accordance with the accounting principles specified therein, consistently applied. Unaudited financial statements are subject to normal year-end adjustments and the absence of footnotes.</w:t>
      </w:r>
    </w:p>
    <w:p>
      <w:r>
        <w:t>4. Confidentiality. Each party shall keep confidential the terms of this Agreement and the negotiations relating to it, except for disclosures required by law or regulation or made to its professional advisers and financing sources who are bound by confidentiality obligations. Where legally permitted, a party required to disclose shall give the other party advance notice and reasonably cooperate to limit disclosure. No public announcement concerning the transaction shall be made without the other party's prior written consent, except as required by law or regulation.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