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Adjustments. The proposed base purchase price for the Shares is USD 41,000,000, on a cash-free, debt-free basis with normalized working capital. The Purchase Price shall equal that amount, plus Closing cash, less Closing indebtedness and unpaid Company transaction expenses, and plus or minus the amount by which Closing working capital exceeds or falls below the agreed normalized working-capital target. Definitions, the target, illustrative calculations and an accounting schedule must be agreed before signing. No item shall be counted more than once or recovered both through an adjustment and indemnification. The accounting schedule shall establish specific policies and their priority over US GAAP and shall require consistency with the reference accounts to the extent consistent with those policies; purchase accounting and effects of Buyer's post-Closing actions shall be excluded. Seller shall deliver an estimated Closing statement at least five business days before Closing. Buyer shall pay the resulting estimated Purchase Price at Closing by wire transfer of immediately available funds to Seller's designated account, less the agreed escrow deposit. Buyer shall deliver its proposed final Closing statement within 60 days after Closing, failing which Seller's estimate shall be final. Seller shall have 30 days to object, with reasonable access to supporting books, records and personnel. Uncontested amounts shall be final. Unresolved accounting disputes remaining after 20 days of good-faith discussions shall be determined by a mutually appointed independent accounting firm acting as expert, not arbitrator, within the parties' submitted positions and solely on disputed accounting items. Its determination shall be binding absent manifest error, with costs allocated according to the parties' relative success. Any final adjustment shall be paid within five business days after determination. No party may withhold or set off disputed claims against the Closing payment. Express adjustment payments and agreed escrow and indemnification recovery rights are preserved; any set-off against other amounts payable requires written agreement or a final binding determination and shall not expand agreed recovery limits.</w:t>
      </w:r>
    </w:p>
    <w:p>
      <w:r>
        <w:t>2. Closing. The parties shall use commercially reasonable efforts to achieve Closing within 30 days after signing. Closing shall occur on a mutually agreed date no later than five business days after satisfaction or, where legally permissible, waiver of the agreed conditions, other than conditions to be satisfied at Closing. Conditions shall include legally required regulatory approvals, the material third-party consents specifically listed in an agreed schedule, absence of an injunction or legal prohibition, each party's performance of its covenants in all material respects, and accuracy of its representations at signing and Closing, subject to agreed materiality standards and exceptions for representations made as of a specified date. Buyer's obligation shall also be subject to absence of a Material Adverse Change in the Company, defined as a material adverse effect on its business, financial condition or results of operations, excluding general economic, industry, market and legal changes, except to the extent disproportionately affecting the Company, and effects of announcement of the transaction or actions requested or approved by Buyer. Failure to meet projections alone shall not constitute such a change, although underlying causes may be considered. The proposed outside date is 60 days after signing, extendable by either party for up to 30 days if only regulatory conditions and conditions capable of satisfaction at Closing remain outstanding. A party whose material breach causes failure to close may not terminate on that basis. At Closing, Seller shall transfer the Shares against simultaneous payment of the Purchase Price and escrow deposit. Financing treatment remains open for express agreement before signing, following Buyer's confirmation of its funding arrangements; neither a financing condition nor its waiver is agreed by this draft. Buyer approval and satisfactory diligence are matters to be resolved before signing, not continuing discretionary Closing conditions.</w:t>
      </w:r>
    </w:p>
    <w:p>
      <w:r>
        <w:t>3. Representations; Disclosure; Indemnification. Before signing, Seller shall provide complete financial statements for the periods agreed by the parties and proposed disclosure schedules, allowing Buyer a reasonable opportunity for review. The proposed accounting framework is US GAAP, to be confirmed against the Company's reporting framework before signing. Subject to the agreed disclosure schedules, Seller shall represent at signing and Closing that: (a) Seller has authority to enter into and perform the Agreement and owns the Shares free of liens other than restrictions under applicable securities laws, and can transfer good title; (b) the Company's capitalization schedule is complete and accurate, its issued shares are validly issued and fully paid, and there are no undisclosed outstanding rights to acquire equity; (c) the scheduled financial statements fairly present, in all material respects, the Company's financial position and results in accordance with the agreed accounting framework consistently applied, subject, for unaudited statements, to normal year-end adjustments and absence of footnotes; (d) all material required tax returns have been timely filed and are materially accurate, material taxes due have been paid or adequately reserved, and there are no undisclosed material pending tax disputes; (e) the Company has no material liabilities required to be reflected or reserved under the agreed accounting framework other than those reflected or reserved in the financial statements, incurred in the ordinary course since their date, or fairly disclosed; (f) there is no undisclosed material pending litigation or, to Seller's knowledge, threatened litigation against the Company; (g) the Company is in compliance in all material respects with applicable laws and holds material permits necessary for its business; and (h) the schedule identifies all material contracts under agreed thresholds, copies have been supplied, and neither the Company nor, to Seller's knowledge, any counterparty is in material default under them. Seller's knowledge means the actual knowledge of identified management personnel after reasonable inquiry of their relevant direct reports. Disclosure exceptions must identify the nature and scope of the exception in sufficient detail and qualify only the identified representation or another representation to which their applicability is reasonably apparent on the face of the disclosure; general data-room disclosure shall not qualify representations. Buyer shall give reciprocal authority, authorization and enforceability representations. The parties shall settle the detailed representations and schedules before signing. Seller shall indemnify Buyer for direct losses arising from breaches of Seller's representations and covenants, subject to the following proposed limitations: general representations survive 12 months after Closing; general representation claims are subject to a deductible equal to 1% of the base Purchase Price and an aggregate cap equal to 10% of that price; title, authority and capitalization representations survive six years and are capped at the Purchase Price; tax representations and an agreed indemnity for pre-Closing Company taxes survive until 60 days after expiry of the applicable limitation period and are capped at the Purchase Price. Covenant claims survive until 12 months after the applicable performance period, subject to the Purchase Price cap. Seller's aggregate liability shall not exceed the Purchase Price, except for Seller's own actual fraud, for which no contractual limitation applies. Five percent of the base Purchase Price shall be deposited at Closing with an independent escrow agent for 12 months as first recourse for general representation claims, without reducing the agreed 10% cap; at expiry, only amounts reasonably specified in timely notified unresolved claims shall be retained. Timely notified claims survive until resolved. Losses shall be net of insurance proceeds actually received, net of recovery costs, and tax benefits actually realized; Buyer shall reasonably mitigate losses. There shall be no duplicate recovery, punitive damages except amounts payable to third parties, or recovery for losses caused by Buyer's post-Closing actions. Claims procedures shall provide reasonably detailed notice, Seller participation in and, subject to appropriate protections, control of third-party defenses, and consent rights over settlements imposing admissions or nonmonetary obligations. Following Closing, the agreed indemnification regime shall be the exclusive monetary remedy for breach, except for express price adjustments and Seller's own actual fraud; rights to seek specific performance are preserved. All thresholds, survival periods, caps and escrow terms remain proposals pending definitive agreement.</w:t>
      </w:r>
    </w:p>
    <w:p>
      <w:r>
        <w:t>4. Confidentiality. Each party shall keep confidential the terms of this Agreement, the negotiations relating to it and nonpublic information received concerning the other party or the Company, except for disclosures required by law or regulation or made on a need-to-know basis for evaluating, financing or implementing the transaction to its affiliates and its and their representatives, professional advisers and financing sources, in each case subject to confidentiality obligations at least as protective as this clause or applicable professional duties of confidentiality. Each party shall be responsible for breaches by persons to whom it discloses such information. Where legally permitted, a party required to disclose shall give the other party advance notice and reasonably cooperate to limit disclosure, and shall disclose only what is legally required. No public announcement concerning the transaction shall be made without the other party's prior written consent, except as required by law or regulation. Any existing confidentiality agreement remains in effect pending execution of definitive documentation.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