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 or on such other date as the Buyer and the Seller agree in writing.</w:t>
      </w:r>
    </w:p>
    <w:p>
      <w:r>
        <w:t>3. Representations. The Seller represents that the financial statements delivered to the Buyer fairly present, in all material respects, the financial position and results of operations of the Company as of the dates and for the periods covered, subject to the notes thereto and, for unaudited financial statements, normal year-end adjustments and the absence of footnotes.</w:t>
      </w:r>
    </w:p>
    <w:p>
      <w:r>
        <w:t>4. Confidentiality. Each party shall keep the terms of this Agreement confidential, except for disclosures required by applicable law, regulation or court order, or made to its professional advisers or financing sources who are bound by confidentiality obligations. Where legally permitted, a party making a required disclosure shall give the other party reasonable advance notice and disclose only what is required. Neither party shall make a public announcement concerning this Agreement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